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AB6409" w14:textId="77777777" w:rsidR="00C33961" w:rsidRDefault="00C33961">
      <w:pPr>
        <w:rPr>
          <w:b/>
          <w:vertAlign w:val="baseline"/>
        </w:rPr>
      </w:pPr>
      <w:r>
        <w:rPr>
          <w:b/>
          <w:vertAlign w:val="baseline"/>
        </w:rPr>
        <w:t>Experimental</w:t>
      </w:r>
    </w:p>
    <w:p w14:paraId="78296D1B" w14:textId="77777777" w:rsidR="006E0A77" w:rsidRPr="006E0A77" w:rsidRDefault="006E0A77" w:rsidP="006E0A77">
      <w:pPr>
        <w:jc w:val="both"/>
        <w:rPr>
          <w:vertAlign w:val="baseline"/>
        </w:rPr>
      </w:pPr>
    </w:p>
    <w:p w14:paraId="684B9BB8" w14:textId="77777777" w:rsidR="006E0A77" w:rsidRPr="006E0A77" w:rsidRDefault="006E0A77" w:rsidP="006E0A77">
      <w:pPr>
        <w:jc w:val="both"/>
        <w:rPr>
          <w:vertAlign w:val="baseline"/>
        </w:rPr>
      </w:pPr>
      <w:r w:rsidRPr="006E0A77">
        <w:rPr>
          <w:vertAlign w:val="baseline"/>
        </w:rPr>
        <w:t xml:space="preserve">The volume fractions and carbon concentration of the phases present after the heat treatments were determined using a </w:t>
      </w:r>
      <w:proofErr w:type="spellStart"/>
      <w:r w:rsidRPr="006E0A77">
        <w:rPr>
          <w:vertAlign w:val="baseline"/>
        </w:rPr>
        <w:t>Bruker</w:t>
      </w:r>
      <w:proofErr w:type="spellEnd"/>
      <w:r w:rsidRPr="006E0A77">
        <w:rPr>
          <w:vertAlign w:val="baseline"/>
        </w:rPr>
        <w:t xml:space="preserve"> D8 Advance diffractometer with a position sensitive detector and </w:t>
      </w:r>
      <w:proofErr w:type="spellStart"/>
      <w:r w:rsidRPr="006E0A77">
        <w:rPr>
          <w:vertAlign w:val="baseline"/>
        </w:rPr>
        <w:t>CuK</w:t>
      </w:r>
      <w:proofErr w:type="spellEnd"/>
      <w:r w:rsidRPr="006E0A77">
        <w:rPr>
          <w:vertAlign w:val="baseline"/>
        </w:rPr>
        <w:t xml:space="preserve">α radiation. Scans were performed from 35 to 130°, with a step </w:t>
      </w:r>
      <w:r>
        <w:rPr>
          <w:vertAlign w:val="baseline"/>
        </w:rPr>
        <w:t>size of 0.02°, a dwell time of 3.5</w:t>
      </w:r>
      <w:r w:rsidRPr="006E0A77">
        <w:rPr>
          <w:vertAlign w:val="baseline"/>
        </w:rPr>
        <w:t xml:space="preserve"> s, a</w:t>
      </w:r>
      <w:r>
        <w:rPr>
          <w:vertAlign w:val="baseline"/>
        </w:rPr>
        <w:t>nd energy levels from 210 to 220</w:t>
      </w:r>
      <w:r w:rsidRPr="006E0A77">
        <w:rPr>
          <w:vertAlign w:val="baseline"/>
        </w:rPr>
        <w:t xml:space="preserve"> mV to </w:t>
      </w:r>
      <w:proofErr w:type="spellStart"/>
      <w:r w:rsidRPr="006E0A77">
        <w:rPr>
          <w:vertAlign w:val="baseline"/>
        </w:rPr>
        <w:t>minimise</w:t>
      </w:r>
      <w:proofErr w:type="spellEnd"/>
      <w:r w:rsidRPr="006E0A77">
        <w:rPr>
          <w:vertAlign w:val="baseline"/>
        </w:rPr>
        <w:t xml:space="preserve"> beta peaks. The samples were rotated at 30 rad-1 and </w:t>
      </w:r>
      <w:r>
        <w:rPr>
          <w:vertAlign w:val="baseline"/>
        </w:rPr>
        <w:t xml:space="preserve">10 mm </w:t>
      </w:r>
      <w:r w:rsidRPr="006E0A77">
        <w:rPr>
          <w:vertAlign w:val="baseline"/>
        </w:rPr>
        <w:t>slits were chosen to restrict the beam</w:t>
      </w:r>
      <w:r>
        <w:rPr>
          <w:vertAlign w:val="baseline"/>
        </w:rPr>
        <w:t xml:space="preserve"> size</w:t>
      </w:r>
      <w:r w:rsidRPr="006E0A77">
        <w:rPr>
          <w:vertAlign w:val="baseline"/>
        </w:rPr>
        <w:t xml:space="preserve">. After scanning, the simulated slit mode was changed to </w:t>
      </w:r>
      <w:proofErr w:type="gramStart"/>
      <w:r w:rsidRPr="006E0A77">
        <w:rPr>
          <w:vertAlign w:val="baseline"/>
        </w:rPr>
        <w:t>fixed</w:t>
      </w:r>
      <w:proofErr w:type="gramEnd"/>
      <w:r w:rsidRPr="006E0A77">
        <w:rPr>
          <w:vertAlign w:val="baseline"/>
        </w:rPr>
        <w:t xml:space="preserve"> in order to flatten the background as much as possible. </w:t>
      </w:r>
    </w:p>
    <w:p w14:paraId="37A1C5E0" w14:textId="77777777" w:rsidR="006E0A77" w:rsidRPr="006E0A77" w:rsidRDefault="006E0A77" w:rsidP="006E0A77">
      <w:pPr>
        <w:jc w:val="both"/>
        <w:rPr>
          <w:vertAlign w:val="baseline"/>
        </w:rPr>
      </w:pPr>
    </w:p>
    <w:p w14:paraId="5430E8A8" w14:textId="77777777" w:rsidR="006E0A77" w:rsidRPr="006E0A77" w:rsidRDefault="006E0A77" w:rsidP="006E0A77">
      <w:pPr>
        <w:jc w:val="both"/>
        <w:rPr>
          <w:vertAlign w:val="baseline"/>
        </w:rPr>
      </w:pPr>
      <w:r w:rsidRPr="006E0A77">
        <w:rPr>
          <w:vertAlign w:val="baseline"/>
        </w:rPr>
        <w:t xml:space="preserve">Samples were prepared by </w:t>
      </w:r>
      <w:r>
        <w:rPr>
          <w:vertAlign w:val="baseline"/>
        </w:rPr>
        <w:t xml:space="preserve">grinding to 4000 </w:t>
      </w:r>
      <w:proofErr w:type="spellStart"/>
      <w:r>
        <w:rPr>
          <w:vertAlign w:val="baseline"/>
        </w:rPr>
        <w:t>SiC</w:t>
      </w:r>
      <w:proofErr w:type="spellEnd"/>
      <w:r>
        <w:rPr>
          <w:vertAlign w:val="baseline"/>
        </w:rPr>
        <w:t xml:space="preserve"> paper, polishing to 1 µm, etching in 2% </w:t>
      </w:r>
      <w:proofErr w:type="spellStart"/>
      <w:r>
        <w:rPr>
          <w:vertAlign w:val="baseline"/>
        </w:rPr>
        <w:t>nital</w:t>
      </w:r>
      <w:proofErr w:type="spellEnd"/>
      <w:r>
        <w:rPr>
          <w:vertAlign w:val="baseline"/>
        </w:rPr>
        <w:t>, and polishing again to 1µm to get rid of any surface stresses and/or stress induced austenite transformation.</w:t>
      </w:r>
    </w:p>
    <w:p w14:paraId="735A5D67" w14:textId="77777777" w:rsidR="006E0A77" w:rsidRPr="006E0A77" w:rsidRDefault="006E0A77" w:rsidP="006E0A77">
      <w:pPr>
        <w:rPr>
          <w:b/>
          <w:vertAlign w:val="baseline"/>
        </w:rPr>
      </w:pPr>
    </w:p>
    <w:p w14:paraId="6CBE3998" w14:textId="77777777" w:rsidR="006E0A77" w:rsidRPr="006E0A77" w:rsidRDefault="006E0A77" w:rsidP="006E0A77">
      <w:pPr>
        <w:rPr>
          <w:b/>
          <w:vertAlign w:val="baseline"/>
        </w:rPr>
      </w:pPr>
      <w:r w:rsidRPr="006E0A77">
        <w:rPr>
          <w:b/>
          <w:vertAlign w:val="baseline"/>
        </w:rPr>
        <w:t>Results</w:t>
      </w:r>
    </w:p>
    <w:p w14:paraId="58B45BC0" w14:textId="77777777" w:rsidR="006E0A77" w:rsidRPr="006E0A77" w:rsidRDefault="006E0A77" w:rsidP="006E0A77">
      <w:pPr>
        <w:jc w:val="both"/>
        <w:rPr>
          <w:vertAlign w:val="baseline"/>
        </w:rPr>
      </w:pPr>
    </w:p>
    <w:p w14:paraId="1A30C55F" w14:textId="571073DA" w:rsidR="006E0A77" w:rsidRDefault="006E0A77" w:rsidP="006E0A77">
      <w:pPr>
        <w:jc w:val="both"/>
        <w:rPr>
          <w:vertAlign w:val="baseline"/>
        </w:rPr>
      </w:pPr>
      <w:r w:rsidRPr="006E0A77">
        <w:rPr>
          <w:vertAlign w:val="baseline"/>
        </w:rPr>
        <w:t xml:space="preserve">Rietveld refinement of all the x-ray diffraction data collected was performed in </w:t>
      </w:r>
      <w:proofErr w:type="spellStart"/>
      <w:r w:rsidRPr="006E0A77">
        <w:rPr>
          <w:vertAlign w:val="baseline"/>
        </w:rPr>
        <w:t>HighScore</w:t>
      </w:r>
      <w:proofErr w:type="spellEnd"/>
      <w:r w:rsidRPr="006E0A77">
        <w:rPr>
          <w:vertAlign w:val="baseline"/>
        </w:rPr>
        <w:t xml:space="preserve"> Plus according to the method presented in [1] by first fitting austenite to three isolated austenite peaks: 002, 022, and 113. This allowed </w:t>
      </w:r>
      <w:proofErr w:type="gramStart"/>
      <w:r w:rsidRPr="006E0A77">
        <w:rPr>
          <w:vertAlign w:val="baseline"/>
        </w:rPr>
        <w:t>to obtain</w:t>
      </w:r>
      <w:proofErr w:type="gramEnd"/>
      <w:r w:rsidRPr="006E0A77">
        <w:rPr>
          <w:vertAlign w:val="baseline"/>
        </w:rPr>
        <w:t xml:space="preserve"> the maximum and minimum estimates for the lattice parameter of austenite, which were then used to calculate its carbon concentration through the Dyson and Holmes equation [2]. Since this carbon concentration is inherited by martensite, its maximum and minimum values of tetragonality were obtained by using the Honda and </w:t>
      </w:r>
      <w:proofErr w:type="spellStart"/>
      <w:r w:rsidRPr="006E0A77">
        <w:rPr>
          <w:vertAlign w:val="baseline"/>
        </w:rPr>
        <w:t>Nishiyama</w:t>
      </w:r>
      <w:proofErr w:type="spellEnd"/>
      <w:r w:rsidRPr="006E0A77">
        <w:rPr>
          <w:vertAlign w:val="baseline"/>
        </w:rPr>
        <w:t xml:space="preserve"> charts [3]. These lattice parameters (</w:t>
      </w:r>
      <w:proofErr w:type="spellStart"/>
      <w:r w:rsidRPr="006E0A77">
        <w:rPr>
          <w:vertAlign w:val="baseline"/>
        </w:rPr>
        <w:t>aγ</w:t>
      </w:r>
      <w:proofErr w:type="spellEnd"/>
      <w:r w:rsidRPr="006E0A77">
        <w:rPr>
          <w:vertAlign w:val="baseline"/>
        </w:rPr>
        <w:t>, aα’, and cα’) were used to fit martensite, retained austenite, and bainitic ferrite to the whole spectrum.</w:t>
      </w:r>
      <w:r>
        <w:rPr>
          <w:vertAlign w:val="baseline"/>
        </w:rPr>
        <w:t xml:space="preserve"> The results suggest there is no martensite formed either after cooling from the </w:t>
      </w:r>
      <w:proofErr w:type="spellStart"/>
      <w:r>
        <w:rPr>
          <w:vertAlign w:val="baseline"/>
        </w:rPr>
        <w:t>austempering</w:t>
      </w:r>
      <w:proofErr w:type="spellEnd"/>
      <w:r>
        <w:rPr>
          <w:vertAlign w:val="baseline"/>
        </w:rPr>
        <w:t xml:space="preserve"> temperature or due to surface stress transformation of </w:t>
      </w:r>
      <w:r w:rsidR="00CE1CC7">
        <w:rPr>
          <w:vertAlign w:val="baseline"/>
        </w:rPr>
        <w:t xml:space="preserve">the retained austenite due to the preparation method followed and its high carbon concentration. </w:t>
      </w:r>
    </w:p>
    <w:p w14:paraId="5C108136" w14:textId="77777777" w:rsidR="006E0A77" w:rsidRDefault="006E0A77" w:rsidP="006E0A77">
      <w:pPr>
        <w:rPr>
          <w:b/>
          <w:vertAlign w:val="baseline"/>
        </w:rPr>
      </w:pPr>
    </w:p>
    <w:tbl>
      <w:tblPr>
        <w:tblW w:w="103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6"/>
        <w:gridCol w:w="2018"/>
        <w:gridCol w:w="2552"/>
        <w:gridCol w:w="2551"/>
      </w:tblGrid>
      <w:tr w:rsidR="006E0A77" w:rsidRPr="00C33961" w14:paraId="57BBDC6C" w14:textId="77777777" w:rsidTr="007F1A10">
        <w:trPr>
          <w:trHeight w:val="920"/>
        </w:trPr>
        <w:tc>
          <w:tcPr>
            <w:tcW w:w="327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0039DB33" w14:textId="77777777" w:rsidR="006E0A77" w:rsidRPr="00C33961" w:rsidRDefault="006E0A77" w:rsidP="007F1A10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vertAlign w:val="baseline"/>
                <w:lang w:val="en-GB"/>
              </w:rPr>
            </w:pPr>
            <w:r w:rsidRPr="00C33961">
              <w:rPr>
                <w:rFonts w:ascii="Calibri" w:eastAsia="Times New Roman" w:hAnsi="Calibri" w:cs="Times New Roman"/>
                <w:b/>
                <w:color w:val="000000"/>
                <w:vertAlign w:val="baseline"/>
                <w:lang w:val="en-GB"/>
              </w:rPr>
              <w:t>Phase volume fraction</w:t>
            </w:r>
          </w:p>
          <w:p w14:paraId="469ADA31" w14:textId="77777777" w:rsidR="006E0A77" w:rsidRPr="00C33961" w:rsidRDefault="006E0A77" w:rsidP="007F1A10">
            <w:pPr>
              <w:jc w:val="center"/>
              <w:rPr>
                <w:rFonts w:ascii="Calibri" w:eastAsia="Times New Roman" w:hAnsi="Calibri" w:cs="Times New Roman"/>
                <w:color w:val="000000"/>
                <w:vertAlign w:val="baseline"/>
                <w:lang w:val="en-GB"/>
              </w:rPr>
            </w:pPr>
            <w:proofErr w:type="gramStart"/>
            <w:r w:rsidRPr="00C33961">
              <w:rPr>
                <w:rFonts w:ascii="Calibri" w:eastAsia="Times New Roman" w:hAnsi="Calibri" w:cs="Times New Roman"/>
                <w:i/>
                <w:color w:val="000000"/>
                <w:vertAlign w:val="baseline"/>
                <w:lang w:val="en-GB"/>
              </w:rPr>
              <w:t>lattice</w:t>
            </w:r>
            <w:proofErr w:type="gramEnd"/>
            <w:r w:rsidRPr="00C33961">
              <w:rPr>
                <w:rFonts w:ascii="Calibri" w:eastAsia="Times New Roman" w:hAnsi="Calibri" w:cs="Times New Roman"/>
                <w:i/>
                <w:color w:val="000000"/>
                <w:vertAlign w:val="baseline"/>
                <w:lang w:val="en-GB"/>
              </w:rPr>
              <w:t xml:space="preserve"> parameters in Å,</w:t>
            </w:r>
            <w:r w:rsidRPr="00C33961">
              <w:rPr>
                <w:rFonts w:ascii="Calibri" w:eastAsia="Times New Roman" w:hAnsi="Calibri" w:cs="Times New Roman"/>
                <w:color w:val="000000"/>
                <w:vertAlign w:val="baseline"/>
                <w:lang w:val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vertAlign w:val="baseline"/>
                <w:lang w:val="en-GB"/>
              </w:rPr>
              <w:t>(</w:t>
            </w:r>
            <w:r w:rsidRPr="00C33961">
              <w:rPr>
                <w:rFonts w:ascii="Calibri" w:eastAsia="Times New Roman" w:hAnsi="Calibri" w:cs="Times New Roman"/>
                <w:i/>
                <w:color w:val="000000"/>
                <w:vertAlign w:val="baseline"/>
                <w:lang w:val="en-GB"/>
              </w:rPr>
              <w:t xml:space="preserve">carbon concentration in </w:t>
            </w:r>
            <w:proofErr w:type="spellStart"/>
            <w:r w:rsidRPr="00C33961">
              <w:rPr>
                <w:rFonts w:ascii="Calibri" w:eastAsia="Times New Roman" w:hAnsi="Calibri" w:cs="Times New Roman"/>
                <w:i/>
                <w:color w:val="000000"/>
                <w:vertAlign w:val="baseline"/>
                <w:lang w:val="en-GB"/>
              </w:rPr>
              <w:t>wt</w:t>
            </w:r>
            <w:proofErr w:type="spellEnd"/>
            <w:r w:rsidRPr="00C33961">
              <w:rPr>
                <w:rFonts w:ascii="Calibri" w:eastAsia="Times New Roman" w:hAnsi="Calibri" w:cs="Times New Roman"/>
                <w:i/>
                <w:color w:val="000000"/>
                <w:vertAlign w:val="baseline"/>
                <w:lang w:val="en-GB"/>
              </w:rPr>
              <w:t>%</w:t>
            </w:r>
            <w:r>
              <w:rPr>
                <w:rFonts w:ascii="Calibri" w:eastAsia="Times New Roman" w:hAnsi="Calibri" w:cs="Times New Roman"/>
                <w:i/>
                <w:color w:val="000000"/>
                <w:vertAlign w:val="baseline"/>
                <w:lang w:val="en-GB"/>
              </w:rPr>
              <w:t>)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B15927" w14:textId="77777777" w:rsidR="006E0A77" w:rsidRPr="00C33961" w:rsidRDefault="006E0A77" w:rsidP="007F1A10">
            <w:pPr>
              <w:ind w:left="-783" w:firstLine="783"/>
              <w:jc w:val="center"/>
              <w:rPr>
                <w:rFonts w:ascii="Calibri" w:eastAsia="Times New Roman" w:hAnsi="Calibri" w:cs="Times New Roman"/>
                <w:color w:val="000000"/>
                <w:vertAlign w:val="baseline"/>
                <w:lang w:val="en-GB"/>
              </w:rPr>
            </w:pPr>
            <w:r w:rsidRPr="00C33961">
              <w:rPr>
                <w:rFonts w:ascii="Calibri" w:eastAsia="Times New Roman" w:hAnsi="Calibri" w:cs="Times New Roman"/>
                <w:color w:val="000000"/>
                <w:vertAlign w:val="baseline"/>
                <w:lang w:val="en-GB"/>
              </w:rPr>
              <w:t>200 °C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B5FCBE" w14:textId="77777777" w:rsidR="006E0A77" w:rsidRPr="00C33961" w:rsidRDefault="006E0A77" w:rsidP="007F1A10">
            <w:pPr>
              <w:jc w:val="center"/>
              <w:rPr>
                <w:rFonts w:ascii="Calibri" w:eastAsia="Times New Roman" w:hAnsi="Calibri" w:cs="Times New Roman"/>
                <w:color w:val="000000"/>
                <w:vertAlign w:val="baseline"/>
                <w:lang w:val="en-GB"/>
              </w:rPr>
            </w:pPr>
            <w:r w:rsidRPr="00C33961">
              <w:rPr>
                <w:rFonts w:ascii="Calibri" w:eastAsia="Times New Roman" w:hAnsi="Calibri" w:cs="Times New Roman"/>
                <w:color w:val="000000"/>
                <w:vertAlign w:val="baseline"/>
                <w:lang w:val="en-GB"/>
              </w:rPr>
              <w:t>250 °C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BADDB1D" w14:textId="77777777" w:rsidR="006E0A77" w:rsidRPr="00C33961" w:rsidRDefault="006E0A77" w:rsidP="007F1A10">
            <w:pPr>
              <w:jc w:val="center"/>
              <w:rPr>
                <w:rFonts w:ascii="Calibri" w:eastAsia="Times New Roman" w:hAnsi="Calibri" w:cs="Times New Roman"/>
                <w:color w:val="000000"/>
                <w:vertAlign w:val="baseline"/>
                <w:lang w:val="en-GB"/>
              </w:rPr>
            </w:pPr>
            <w:r w:rsidRPr="00C33961">
              <w:rPr>
                <w:rFonts w:ascii="Calibri" w:eastAsia="Times New Roman" w:hAnsi="Calibri" w:cs="Times New Roman"/>
                <w:color w:val="000000"/>
                <w:vertAlign w:val="baseline"/>
                <w:lang w:val="en-GB"/>
              </w:rPr>
              <w:t>300 °C</w:t>
            </w:r>
          </w:p>
        </w:tc>
      </w:tr>
      <w:tr w:rsidR="006E0A77" w:rsidRPr="00C33961" w14:paraId="5FA7B3F9" w14:textId="77777777" w:rsidTr="007F1A10">
        <w:trPr>
          <w:trHeight w:val="320"/>
        </w:trPr>
        <w:tc>
          <w:tcPr>
            <w:tcW w:w="327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D0402DC" w14:textId="77777777" w:rsidR="006E0A77" w:rsidRPr="00C33961" w:rsidRDefault="006E0A77" w:rsidP="007F1A10">
            <w:pPr>
              <w:jc w:val="center"/>
              <w:rPr>
                <w:rFonts w:ascii="Calibri" w:eastAsia="Times New Roman" w:hAnsi="Calibri" w:cs="Times New Roman"/>
                <w:color w:val="000000"/>
                <w:vertAlign w:val="baseline"/>
                <w:lang w:val="en-GB"/>
              </w:rPr>
            </w:pPr>
            <w:r w:rsidRPr="00C33961">
              <w:rPr>
                <w:rFonts w:ascii="Calibri" w:eastAsia="Times New Roman" w:hAnsi="Calibri" w:cs="Times New Roman"/>
                <w:color w:val="000000"/>
                <w:vertAlign w:val="baseline"/>
                <w:lang w:val="en-GB"/>
              </w:rPr>
              <w:t>Ferrite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EE93C6" w14:textId="7B8403CF" w:rsidR="006E0A77" w:rsidRPr="00C33961" w:rsidRDefault="00B66F74" w:rsidP="007F1A1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vertAlign w:val="baseline"/>
                <w:lang w:val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vertAlign w:val="baseline"/>
                <w:lang w:val="en-GB"/>
              </w:rPr>
              <w:t>0.79</w:t>
            </w:r>
            <w:r w:rsidR="006E0A77" w:rsidRPr="00C33961">
              <w:rPr>
                <w:rFonts w:ascii="Calibri" w:eastAsia="Times New Roman" w:hAnsi="Calibri" w:cs="Times New Roman"/>
                <w:b/>
                <w:bCs/>
                <w:color w:val="000000"/>
                <w:vertAlign w:val="baseline"/>
                <w:lang w:val="en-GB"/>
              </w:rPr>
              <w:t>±0.01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A81BAD" w14:textId="77777777" w:rsidR="006E0A77" w:rsidRPr="00C33961" w:rsidRDefault="006E0A77" w:rsidP="007F1A1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vertAlign w:val="baseline"/>
                <w:lang w:val="en-GB"/>
              </w:rPr>
            </w:pPr>
            <w:r w:rsidRPr="00C33961">
              <w:rPr>
                <w:rFonts w:ascii="Calibri" w:eastAsia="Times New Roman" w:hAnsi="Calibri" w:cs="Times New Roman"/>
                <w:b/>
                <w:bCs/>
                <w:color w:val="000000"/>
                <w:vertAlign w:val="baseline"/>
                <w:lang w:val="en-GB"/>
              </w:rPr>
              <w:t>0.74±0.01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3A825C" w14:textId="77777777" w:rsidR="006E0A77" w:rsidRPr="00C33961" w:rsidRDefault="006E0A77" w:rsidP="007F1A1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vertAlign w:val="baseline"/>
                <w:lang w:val="en-GB"/>
              </w:rPr>
            </w:pPr>
            <w:r w:rsidRPr="00C33961">
              <w:rPr>
                <w:rFonts w:ascii="Calibri" w:eastAsia="Times New Roman" w:hAnsi="Calibri" w:cs="Times New Roman"/>
                <w:b/>
                <w:bCs/>
                <w:color w:val="000000"/>
                <w:vertAlign w:val="baseline"/>
                <w:lang w:val="en-GB"/>
              </w:rPr>
              <w:t>0.66±0.01</w:t>
            </w:r>
          </w:p>
        </w:tc>
      </w:tr>
      <w:tr w:rsidR="006E0A77" w:rsidRPr="00C33961" w14:paraId="3DED2584" w14:textId="77777777" w:rsidTr="007F1A10">
        <w:trPr>
          <w:trHeight w:val="300"/>
        </w:trPr>
        <w:tc>
          <w:tcPr>
            <w:tcW w:w="327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FB04C46" w14:textId="77777777" w:rsidR="006E0A77" w:rsidRPr="00C33961" w:rsidRDefault="006E0A77" w:rsidP="007F1A10">
            <w:pPr>
              <w:rPr>
                <w:rFonts w:ascii="Calibri" w:eastAsia="Times New Roman" w:hAnsi="Calibri" w:cs="Times New Roman"/>
                <w:color w:val="000000"/>
                <w:vertAlign w:val="baseline"/>
                <w:lang w:val="en-GB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6AE21C" w14:textId="00C44A54" w:rsidR="006E0A77" w:rsidRPr="00C33961" w:rsidRDefault="006E0A77" w:rsidP="007F1A10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</w:pPr>
            <w:proofErr w:type="gramStart"/>
            <w:r w:rsidRPr="00C33961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a</w:t>
            </w:r>
            <w:proofErr w:type="gramEnd"/>
            <w:r w:rsidRPr="00C33961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=2.873</w:t>
            </w:r>
            <w:r w:rsidR="00B66F74" w:rsidRPr="00B66F74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±</w:t>
            </w:r>
            <w:r w:rsidR="00B66F74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0.001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712D5B" w14:textId="2AE6CED1" w:rsidR="006E0A77" w:rsidRPr="00C33961" w:rsidRDefault="006E0A77" w:rsidP="007F1A10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</w:pPr>
            <w:proofErr w:type="gramStart"/>
            <w:r w:rsidRPr="00C33961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a</w:t>
            </w:r>
            <w:proofErr w:type="gramEnd"/>
            <w:r w:rsidRPr="00C33961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=2.871</w:t>
            </w:r>
            <w:r w:rsidR="00B66F74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4</w:t>
            </w:r>
            <w:r w:rsidR="00B66F74" w:rsidRPr="00B66F74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±</w:t>
            </w:r>
            <w:r w:rsidR="00B66F74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0.00</w:t>
            </w:r>
            <w:r w:rsidR="00B66F74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0</w:t>
            </w:r>
            <w:r w:rsidR="00B66F74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E5C616" w14:textId="0B170AAD" w:rsidR="006E0A77" w:rsidRPr="00C33961" w:rsidRDefault="00B66F74" w:rsidP="007F1A10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</w:pPr>
            <w:proofErr w:type="gramStart"/>
            <w:r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a</w:t>
            </w:r>
            <w:proofErr w:type="gramEnd"/>
            <w:r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=2.8682</w:t>
            </w:r>
            <w:r w:rsidRPr="00B66F74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±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0.0001</w:t>
            </w:r>
          </w:p>
        </w:tc>
      </w:tr>
      <w:tr w:rsidR="006E0A77" w:rsidRPr="00C33961" w14:paraId="1A736B1E" w14:textId="77777777" w:rsidTr="007F1A10">
        <w:trPr>
          <w:trHeight w:val="300"/>
        </w:trPr>
        <w:tc>
          <w:tcPr>
            <w:tcW w:w="327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DC50588" w14:textId="77777777" w:rsidR="006E0A77" w:rsidRPr="00C33961" w:rsidRDefault="006E0A77" w:rsidP="007F1A10">
            <w:pPr>
              <w:jc w:val="center"/>
              <w:rPr>
                <w:rFonts w:ascii="Calibri" w:eastAsia="Times New Roman" w:hAnsi="Calibri" w:cs="Times New Roman"/>
                <w:color w:val="000000"/>
                <w:vertAlign w:val="baseline"/>
                <w:lang w:val="en-GB"/>
              </w:rPr>
            </w:pPr>
            <w:r w:rsidRPr="00C33961">
              <w:rPr>
                <w:rFonts w:ascii="Calibri" w:eastAsia="Times New Roman" w:hAnsi="Calibri" w:cs="Times New Roman"/>
                <w:color w:val="000000"/>
                <w:vertAlign w:val="baseline"/>
                <w:lang w:val="en-GB"/>
              </w:rPr>
              <w:t>Austenite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71FE50" w14:textId="2CF8384F" w:rsidR="006E0A77" w:rsidRPr="00C33961" w:rsidRDefault="00B66F74" w:rsidP="007F1A1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vertAlign w:val="baseline"/>
                <w:lang w:val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vertAlign w:val="baseline"/>
                <w:lang w:val="en-GB"/>
              </w:rPr>
              <w:t>0.21</w:t>
            </w:r>
            <w:r w:rsidR="006E0A77" w:rsidRPr="00C33961">
              <w:rPr>
                <w:rFonts w:ascii="Calibri" w:eastAsia="Times New Roman" w:hAnsi="Calibri" w:cs="Times New Roman"/>
                <w:b/>
                <w:bCs/>
                <w:color w:val="000000"/>
                <w:vertAlign w:val="baseline"/>
                <w:lang w:val="en-GB"/>
              </w:rPr>
              <w:t>±0.01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35F69E" w14:textId="77777777" w:rsidR="006E0A77" w:rsidRPr="00C33961" w:rsidRDefault="006E0A77" w:rsidP="007F1A1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vertAlign w:val="baseline"/>
                <w:lang w:val="en-GB"/>
              </w:rPr>
            </w:pPr>
            <w:r w:rsidRPr="00C33961">
              <w:rPr>
                <w:rFonts w:ascii="Calibri" w:eastAsia="Times New Roman" w:hAnsi="Calibri" w:cs="Times New Roman"/>
                <w:b/>
                <w:bCs/>
                <w:color w:val="000000"/>
                <w:vertAlign w:val="baseline"/>
                <w:lang w:val="en-GB"/>
              </w:rPr>
              <w:t>0.26±0.01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2BDAE" w14:textId="77777777" w:rsidR="006E0A77" w:rsidRPr="00C33961" w:rsidRDefault="006E0A77" w:rsidP="007F1A1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vertAlign w:val="baseline"/>
                <w:lang w:val="en-GB"/>
              </w:rPr>
            </w:pPr>
            <w:r w:rsidRPr="00C33961">
              <w:rPr>
                <w:rFonts w:ascii="Calibri" w:eastAsia="Times New Roman" w:hAnsi="Calibri" w:cs="Times New Roman"/>
                <w:b/>
                <w:bCs/>
                <w:color w:val="000000"/>
                <w:vertAlign w:val="baseline"/>
                <w:lang w:val="en-GB"/>
              </w:rPr>
              <w:t>0.34±0.01</w:t>
            </w:r>
          </w:p>
        </w:tc>
      </w:tr>
      <w:tr w:rsidR="006E0A77" w:rsidRPr="00C33961" w14:paraId="7981A9A5" w14:textId="77777777" w:rsidTr="007F1A10">
        <w:trPr>
          <w:trHeight w:val="300"/>
        </w:trPr>
        <w:tc>
          <w:tcPr>
            <w:tcW w:w="327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8E12C7F" w14:textId="77777777" w:rsidR="006E0A77" w:rsidRPr="00C33961" w:rsidRDefault="006E0A77" w:rsidP="007F1A10">
            <w:pPr>
              <w:rPr>
                <w:rFonts w:ascii="Calibri" w:eastAsia="Times New Roman" w:hAnsi="Calibri" w:cs="Times New Roman"/>
                <w:color w:val="000000"/>
                <w:vertAlign w:val="baseline"/>
                <w:lang w:val="en-GB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74F2BB" w14:textId="4CEE1C0F" w:rsidR="006E0A77" w:rsidRPr="00C33961" w:rsidRDefault="006E0A77" w:rsidP="007F1A10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</w:pPr>
            <w:proofErr w:type="gramStart"/>
            <w:r w:rsidRPr="00C33961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a</w:t>
            </w:r>
            <w:proofErr w:type="gramEnd"/>
            <w:r w:rsidRPr="00C33961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=3.617</w:t>
            </w:r>
            <w:r w:rsidR="00B66F74" w:rsidRPr="00B66F74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±</w:t>
            </w:r>
            <w:r w:rsidR="00B66F74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0.001</w:t>
            </w:r>
            <w:r w:rsidRPr="00C33961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 xml:space="preserve"> (</w:t>
            </w:r>
            <w:proofErr w:type="spellStart"/>
            <w:r w:rsidRPr="00C33961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Xc</w:t>
            </w:r>
            <w:proofErr w:type="spellEnd"/>
            <w:r w:rsidRPr="00C33961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=0.85)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90CDAC" w14:textId="4FD16EC8" w:rsidR="006E0A77" w:rsidRPr="00C33961" w:rsidRDefault="00B66F74" w:rsidP="007F1A10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</w:pPr>
            <w:proofErr w:type="gramStart"/>
            <w:r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a</w:t>
            </w:r>
            <w:proofErr w:type="gramEnd"/>
            <w:r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=3.6229</w:t>
            </w:r>
            <w:r w:rsidRPr="00B66F74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±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0.00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0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1</w:t>
            </w:r>
            <w:r w:rsidR="006E0A77" w:rsidRPr="00C33961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 xml:space="preserve"> (</w:t>
            </w:r>
            <w:proofErr w:type="spellStart"/>
            <w:r w:rsidR="006E0A77" w:rsidRPr="00C33961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Xc</w:t>
            </w:r>
            <w:proofErr w:type="spellEnd"/>
            <w:r w:rsidR="006E0A77" w:rsidRPr="00C33961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=1.03)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2EFBE0" w14:textId="5359A6F9" w:rsidR="006E0A77" w:rsidRPr="00C33961" w:rsidRDefault="00B66F74" w:rsidP="007F1A10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a=3.6266</w:t>
            </w:r>
            <w:bookmarkStart w:id="0" w:name="_GoBack"/>
            <w:bookmarkEnd w:id="0"/>
            <w:r w:rsidRPr="00B66F74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±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0.0001</w:t>
            </w:r>
            <w:r w:rsidR="006E0A77" w:rsidRPr="00C33961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 xml:space="preserve"> (</w:t>
            </w:r>
            <w:proofErr w:type="spellStart"/>
            <w:r w:rsidR="006E0A77" w:rsidRPr="00C33961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Xc</w:t>
            </w:r>
            <w:proofErr w:type="spellEnd"/>
            <w:r w:rsidR="006E0A77" w:rsidRPr="00C33961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=1.14)</w:t>
            </w:r>
          </w:p>
        </w:tc>
      </w:tr>
      <w:tr w:rsidR="006E0A77" w:rsidRPr="00C33961" w14:paraId="008A5E8B" w14:textId="77777777" w:rsidTr="007F1A10">
        <w:trPr>
          <w:trHeight w:val="300"/>
        </w:trPr>
        <w:tc>
          <w:tcPr>
            <w:tcW w:w="327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E562702" w14:textId="77777777" w:rsidR="006E0A77" w:rsidRPr="00C33961" w:rsidRDefault="006E0A77" w:rsidP="007F1A10">
            <w:pPr>
              <w:jc w:val="center"/>
              <w:rPr>
                <w:rFonts w:ascii="Calibri" w:eastAsia="Times New Roman" w:hAnsi="Calibri" w:cs="Times New Roman"/>
                <w:color w:val="000000"/>
                <w:vertAlign w:val="baseline"/>
                <w:lang w:val="en-GB"/>
              </w:rPr>
            </w:pPr>
            <w:r w:rsidRPr="00C33961">
              <w:rPr>
                <w:rFonts w:ascii="Calibri" w:eastAsia="Times New Roman" w:hAnsi="Calibri" w:cs="Times New Roman"/>
                <w:color w:val="000000"/>
                <w:vertAlign w:val="baseline"/>
                <w:lang w:val="en-GB"/>
              </w:rPr>
              <w:t>Martensite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237289" w14:textId="77777777" w:rsidR="006E0A77" w:rsidRPr="00C33961" w:rsidRDefault="006E0A77" w:rsidP="007F1A1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vertAlign w:val="baseline"/>
                <w:lang w:val="en-GB"/>
              </w:rPr>
            </w:pPr>
            <w:r w:rsidRPr="00C33961">
              <w:rPr>
                <w:rFonts w:ascii="Calibri" w:eastAsia="Times New Roman" w:hAnsi="Calibri" w:cs="Times New Roman"/>
                <w:b/>
                <w:bCs/>
                <w:color w:val="000000"/>
                <w:vertAlign w:val="baseline"/>
                <w:lang w:val="en-GB"/>
              </w:rPr>
              <w:t>0±0.01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EDC085" w14:textId="77777777" w:rsidR="006E0A77" w:rsidRPr="00C33961" w:rsidRDefault="006E0A77" w:rsidP="007F1A1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vertAlign w:val="baseline"/>
                <w:lang w:val="en-GB"/>
              </w:rPr>
            </w:pPr>
            <w:r w:rsidRPr="00C33961">
              <w:rPr>
                <w:rFonts w:ascii="Calibri" w:eastAsia="Times New Roman" w:hAnsi="Calibri" w:cs="Times New Roman"/>
                <w:b/>
                <w:bCs/>
                <w:color w:val="000000"/>
                <w:vertAlign w:val="baseline"/>
                <w:lang w:val="en-GB"/>
              </w:rPr>
              <w:t>0±0.01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FF847C" w14:textId="77777777" w:rsidR="006E0A77" w:rsidRPr="00C33961" w:rsidRDefault="006E0A77" w:rsidP="007F1A1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vertAlign w:val="baseline"/>
                <w:lang w:val="en-GB"/>
              </w:rPr>
            </w:pPr>
            <w:r w:rsidRPr="00C33961">
              <w:rPr>
                <w:rFonts w:ascii="Calibri" w:eastAsia="Times New Roman" w:hAnsi="Calibri" w:cs="Times New Roman"/>
                <w:b/>
                <w:bCs/>
                <w:color w:val="000000"/>
                <w:vertAlign w:val="baseline"/>
                <w:lang w:val="en-GB"/>
              </w:rPr>
              <w:t>0±0.01</w:t>
            </w:r>
          </w:p>
        </w:tc>
      </w:tr>
      <w:tr w:rsidR="006E0A77" w:rsidRPr="00C33961" w14:paraId="584C55DB" w14:textId="77777777" w:rsidTr="007F1A10">
        <w:trPr>
          <w:trHeight w:val="300"/>
        </w:trPr>
        <w:tc>
          <w:tcPr>
            <w:tcW w:w="327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59B7A3" w14:textId="77777777" w:rsidR="006E0A77" w:rsidRPr="00C33961" w:rsidRDefault="006E0A77" w:rsidP="007F1A10">
            <w:pPr>
              <w:rPr>
                <w:rFonts w:ascii="Calibri" w:eastAsia="Times New Roman" w:hAnsi="Calibri" w:cs="Times New Roman"/>
                <w:color w:val="000000"/>
                <w:vertAlign w:val="baseline"/>
                <w:lang w:val="en-GB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6CA73" w14:textId="77777777" w:rsidR="006E0A77" w:rsidRPr="00C33961" w:rsidRDefault="006E0A77" w:rsidP="007F1A10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</w:pPr>
            <w:proofErr w:type="gramStart"/>
            <w:r w:rsidRPr="00C33961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a</w:t>
            </w:r>
            <w:proofErr w:type="gramEnd"/>
            <w:r w:rsidRPr="00C33961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=2.848, c=2.960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F161BC" w14:textId="77777777" w:rsidR="006E0A77" w:rsidRPr="00C33961" w:rsidRDefault="006E0A77" w:rsidP="007F1A10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</w:pPr>
            <w:proofErr w:type="gramStart"/>
            <w:r w:rsidRPr="00C33961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a</w:t>
            </w:r>
            <w:proofErr w:type="gramEnd"/>
            <w:r w:rsidRPr="00C33961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=2.846, c=2.977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3F5FD5" w14:textId="77777777" w:rsidR="006E0A77" w:rsidRPr="00C33961" w:rsidRDefault="006E0A77" w:rsidP="007F1A10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</w:pPr>
            <w:proofErr w:type="gramStart"/>
            <w:r w:rsidRPr="00C33961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a</w:t>
            </w:r>
            <w:proofErr w:type="gramEnd"/>
            <w:r w:rsidRPr="00C33961">
              <w:rPr>
                <w:rFonts w:ascii="Calibri" w:eastAsia="Times New Roman" w:hAnsi="Calibri" w:cs="Times New Roman"/>
                <w:i/>
                <w:iCs/>
                <w:color w:val="000000"/>
                <w:vertAlign w:val="baseline"/>
                <w:lang w:val="en-GB"/>
              </w:rPr>
              <w:t>=2.845, c=2.995</w:t>
            </w:r>
          </w:p>
        </w:tc>
      </w:tr>
      <w:tr w:rsidR="006E0A77" w:rsidRPr="00C33961" w14:paraId="67C781D2" w14:textId="77777777" w:rsidTr="007F1A10">
        <w:trPr>
          <w:trHeight w:val="300"/>
        </w:trPr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86867B" w14:textId="77777777" w:rsidR="006E0A77" w:rsidRPr="00C33961" w:rsidRDefault="006E0A77" w:rsidP="007F1A10">
            <w:pPr>
              <w:jc w:val="center"/>
              <w:rPr>
                <w:rFonts w:ascii="Calibri" w:eastAsia="Times New Roman" w:hAnsi="Calibri" w:cs="Times New Roman"/>
                <w:color w:val="000000"/>
                <w:vertAlign w:val="baseline"/>
                <w:lang w:val="en-GB"/>
              </w:rPr>
            </w:pPr>
            <w:r w:rsidRPr="00C33961">
              <w:rPr>
                <w:rFonts w:ascii="Calibri" w:eastAsia="Times New Roman" w:hAnsi="Calibri" w:cs="Times New Roman"/>
                <w:color w:val="000000"/>
                <w:vertAlign w:val="baseline"/>
                <w:lang w:val="en-GB"/>
              </w:rPr>
              <w:t>Fe3C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AE1E0F1" w14:textId="77777777" w:rsidR="006E0A77" w:rsidRPr="00C33961" w:rsidRDefault="006E0A77" w:rsidP="007F1A1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vertAlign w:val="baseline"/>
                <w:lang w:val="en-GB"/>
              </w:rPr>
            </w:pPr>
            <w:r w:rsidRPr="00C33961">
              <w:rPr>
                <w:rFonts w:ascii="Calibri" w:eastAsia="Times New Roman" w:hAnsi="Calibri" w:cs="Times New Roman"/>
                <w:b/>
                <w:bCs/>
                <w:color w:val="000000"/>
                <w:vertAlign w:val="baseline"/>
                <w:lang w:val="en-GB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7F6999" w14:textId="77777777" w:rsidR="006E0A77" w:rsidRPr="00C33961" w:rsidRDefault="006E0A77" w:rsidP="007F1A10">
            <w:pPr>
              <w:jc w:val="center"/>
              <w:rPr>
                <w:rFonts w:ascii="Calibri" w:eastAsia="Times New Roman" w:hAnsi="Calibri" w:cs="Times New Roman"/>
                <w:color w:val="000000"/>
                <w:vertAlign w:val="baseline"/>
                <w:lang w:val="en-GB"/>
              </w:rPr>
            </w:pPr>
            <w:r w:rsidRPr="00C33961">
              <w:rPr>
                <w:rFonts w:ascii="Calibri" w:eastAsia="Times New Roman" w:hAnsi="Calibri" w:cs="Times New Roman"/>
                <w:color w:val="000000"/>
                <w:vertAlign w:val="baseline"/>
                <w:lang w:val="en-GB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02E994" w14:textId="77777777" w:rsidR="006E0A77" w:rsidRPr="00C33961" w:rsidRDefault="006E0A77" w:rsidP="007F1A1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vertAlign w:val="baseline"/>
                <w:lang w:val="en-GB"/>
              </w:rPr>
            </w:pPr>
            <w:r w:rsidRPr="00C33961">
              <w:rPr>
                <w:rFonts w:ascii="Calibri" w:eastAsia="Times New Roman" w:hAnsi="Calibri" w:cs="Times New Roman"/>
                <w:b/>
                <w:bCs/>
                <w:color w:val="000000"/>
                <w:vertAlign w:val="baseline"/>
                <w:lang w:val="en-GB"/>
              </w:rPr>
              <w:t>-</w:t>
            </w:r>
          </w:p>
        </w:tc>
      </w:tr>
    </w:tbl>
    <w:p w14:paraId="6BCC31D3" w14:textId="77777777" w:rsidR="006E0A77" w:rsidRPr="00C33961" w:rsidRDefault="006E0A77" w:rsidP="006E0A77">
      <w:pPr>
        <w:ind w:left="-851" w:right="-1056" w:firstLine="851"/>
        <w:rPr>
          <w:b/>
          <w:vertAlign w:val="baseline"/>
        </w:rPr>
      </w:pPr>
    </w:p>
    <w:p w14:paraId="13A05D79" w14:textId="77777777" w:rsidR="006E0A77" w:rsidRPr="006E0A77" w:rsidRDefault="006E0A77" w:rsidP="006E0A77">
      <w:pPr>
        <w:rPr>
          <w:b/>
          <w:vertAlign w:val="baseline"/>
        </w:rPr>
      </w:pPr>
    </w:p>
    <w:p w14:paraId="0A2E9B24" w14:textId="77777777" w:rsidR="006E0A77" w:rsidRPr="006E0A77" w:rsidRDefault="006E0A77" w:rsidP="006E0A77">
      <w:pPr>
        <w:rPr>
          <w:b/>
          <w:vertAlign w:val="baseline"/>
        </w:rPr>
      </w:pPr>
      <w:r w:rsidRPr="006E0A77">
        <w:rPr>
          <w:b/>
          <w:vertAlign w:val="baseline"/>
        </w:rPr>
        <w:t>References</w:t>
      </w:r>
    </w:p>
    <w:p w14:paraId="39025FB0" w14:textId="77777777" w:rsidR="006E0A77" w:rsidRPr="006E0A77" w:rsidRDefault="006E0A77" w:rsidP="006E0A77">
      <w:pPr>
        <w:rPr>
          <w:b/>
          <w:vertAlign w:val="baseline"/>
        </w:rPr>
      </w:pPr>
    </w:p>
    <w:p w14:paraId="2B1DB1D7" w14:textId="77777777" w:rsidR="006E0A77" w:rsidRPr="006E0A77" w:rsidRDefault="006E0A77" w:rsidP="006E0A77">
      <w:pPr>
        <w:rPr>
          <w:vertAlign w:val="baseline"/>
        </w:rPr>
      </w:pPr>
      <w:r w:rsidRPr="006E0A77">
        <w:rPr>
          <w:vertAlign w:val="baseline"/>
        </w:rPr>
        <w:t xml:space="preserve">[1] W. Solano-Alvarez and H. K. D. H. </w:t>
      </w:r>
      <w:proofErr w:type="spellStart"/>
      <w:r w:rsidRPr="006E0A77">
        <w:rPr>
          <w:vertAlign w:val="baseline"/>
        </w:rPr>
        <w:t>Bhadeshia</w:t>
      </w:r>
      <w:proofErr w:type="spellEnd"/>
      <w:r w:rsidRPr="006E0A77">
        <w:rPr>
          <w:vertAlign w:val="baseline"/>
        </w:rPr>
        <w:t>, White-Etching Matter in Bearing Steel. Part II: Distinguishing Cause and Effect in Bearing Steel Failure. Metallurgical and Materials Transactions A, 45:11 (2014) 4916-4931.</w:t>
      </w:r>
    </w:p>
    <w:p w14:paraId="2D3C42D9" w14:textId="77777777" w:rsidR="006E0A77" w:rsidRPr="006E0A77" w:rsidRDefault="006E0A77" w:rsidP="006E0A77">
      <w:pPr>
        <w:rPr>
          <w:vertAlign w:val="baseline"/>
        </w:rPr>
      </w:pPr>
    </w:p>
    <w:p w14:paraId="7BDD4C14" w14:textId="77777777" w:rsidR="006E0A77" w:rsidRPr="006E0A77" w:rsidRDefault="006E0A77" w:rsidP="006E0A77">
      <w:pPr>
        <w:rPr>
          <w:vertAlign w:val="baseline"/>
        </w:rPr>
      </w:pPr>
      <w:r w:rsidRPr="006E0A77">
        <w:rPr>
          <w:vertAlign w:val="baseline"/>
        </w:rPr>
        <w:t>[2] D. J. Dyson and B. Holmes, Effect of alloying additions on the lattice parameter austenite, Journal of the Iron and Steel Institute 208 (1970) 469–474.</w:t>
      </w:r>
    </w:p>
    <w:p w14:paraId="73BCA5E1" w14:textId="77777777" w:rsidR="006E0A77" w:rsidRPr="006E0A77" w:rsidRDefault="006E0A77" w:rsidP="006E0A77">
      <w:pPr>
        <w:rPr>
          <w:vertAlign w:val="baseline"/>
        </w:rPr>
      </w:pPr>
    </w:p>
    <w:p w14:paraId="2734AA71" w14:textId="77777777" w:rsidR="006E0A77" w:rsidRPr="006E0A77" w:rsidRDefault="006E0A77" w:rsidP="006E0A77">
      <w:pPr>
        <w:rPr>
          <w:vertAlign w:val="baseline"/>
        </w:rPr>
      </w:pPr>
      <w:r w:rsidRPr="006E0A77">
        <w:rPr>
          <w:vertAlign w:val="baseline"/>
        </w:rPr>
        <w:t xml:space="preserve">[3] E. Honda and Z. </w:t>
      </w:r>
      <w:proofErr w:type="spellStart"/>
      <w:r w:rsidRPr="006E0A77">
        <w:rPr>
          <w:vertAlign w:val="baseline"/>
        </w:rPr>
        <w:t>Nishiyama</w:t>
      </w:r>
      <w:proofErr w:type="spellEnd"/>
      <w:r w:rsidRPr="006E0A77">
        <w:rPr>
          <w:vertAlign w:val="baseline"/>
        </w:rPr>
        <w:t xml:space="preserve">, </w:t>
      </w:r>
      <w:proofErr w:type="gramStart"/>
      <w:r w:rsidRPr="006E0A77">
        <w:rPr>
          <w:vertAlign w:val="baseline"/>
        </w:rPr>
        <w:t>On</w:t>
      </w:r>
      <w:proofErr w:type="gramEnd"/>
      <w:r w:rsidRPr="006E0A77">
        <w:rPr>
          <w:vertAlign w:val="baseline"/>
        </w:rPr>
        <w:t xml:space="preserve"> the nature of the tetragonal and cubic </w:t>
      </w:r>
      <w:proofErr w:type="spellStart"/>
      <w:r w:rsidRPr="006E0A77">
        <w:rPr>
          <w:vertAlign w:val="baseline"/>
        </w:rPr>
        <w:t>martensites</w:t>
      </w:r>
      <w:proofErr w:type="spellEnd"/>
      <w:r w:rsidRPr="006E0A77">
        <w:rPr>
          <w:vertAlign w:val="baseline"/>
        </w:rPr>
        <w:t>, Science Reports of Tohoku Imperial University 21 (1932) 299–331.</w:t>
      </w:r>
    </w:p>
    <w:p w14:paraId="2A7B74B6" w14:textId="77777777" w:rsidR="00C33961" w:rsidRDefault="00C33961">
      <w:pPr>
        <w:rPr>
          <w:b/>
          <w:vertAlign w:val="baseline"/>
        </w:rPr>
      </w:pPr>
    </w:p>
    <w:p w14:paraId="5D3944C7" w14:textId="77777777" w:rsidR="00C33961" w:rsidRDefault="00C33961">
      <w:pPr>
        <w:rPr>
          <w:b/>
          <w:vertAlign w:val="baseline"/>
        </w:rPr>
      </w:pPr>
    </w:p>
    <w:p w14:paraId="79107E40" w14:textId="77777777" w:rsidR="006E0A77" w:rsidRDefault="006E0A77">
      <w:pPr>
        <w:rPr>
          <w:b/>
          <w:vertAlign w:val="baseline"/>
        </w:rPr>
      </w:pPr>
    </w:p>
    <w:sectPr w:rsidR="006E0A77" w:rsidSect="006E0A77">
      <w:pgSz w:w="11900" w:h="16840"/>
      <w:pgMar w:top="1440" w:right="1268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961"/>
    <w:rsid w:val="002310A2"/>
    <w:rsid w:val="006E0A77"/>
    <w:rsid w:val="00B66F74"/>
    <w:rsid w:val="00C33961"/>
    <w:rsid w:val="00CE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9969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vertAlign w:val="superscript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vertAlign w:val="superscript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404</Words>
  <Characters>2309</Characters>
  <Application>Microsoft Macintosh Word</Application>
  <DocSecurity>0</DocSecurity>
  <Lines>19</Lines>
  <Paragraphs>5</Paragraphs>
  <ScaleCrop>false</ScaleCrop>
  <Company>University of Cambridge</Company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Wilberth Solano</dc:creator>
  <cp:keywords/>
  <dc:description/>
  <cp:lastModifiedBy>Wilberth Solano</cp:lastModifiedBy>
  <cp:revision>4</cp:revision>
  <dcterms:created xsi:type="dcterms:W3CDTF">2016-03-16T20:01:00Z</dcterms:created>
  <dcterms:modified xsi:type="dcterms:W3CDTF">2016-03-17T11:54:00Z</dcterms:modified>
</cp:coreProperties>
</file>